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F45" w:rsidRDefault="00F24887">
      <w:pPr>
        <w:spacing w:line="228" w:lineRule="auto"/>
        <w:ind w:left="1494"/>
        <w:jc w:val="left"/>
      </w:pPr>
      <w:r>
        <w:rPr>
          <w:rFonts w:ascii="Times New Roman" w:hAnsi="Times New Roman"/>
          <w:b/>
          <w:sz w:val="24"/>
        </w:rPr>
        <w:t>МИНИСТЕРСТВО ПРОСВЕЩЕНИЯ РОССИЙСКОЙ ФЕДЕРАЦИИ</w:t>
      </w:r>
    </w:p>
    <w:p w:rsidR="004E3F45" w:rsidRDefault="00F24887">
      <w:pPr>
        <w:spacing w:before="670" w:line="228" w:lineRule="auto"/>
        <w:ind w:right="2060"/>
        <w:jc w:val="right"/>
      </w:pPr>
      <w:r>
        <w:rPr>
          <w:rFonts w:ascii="Times New Roman" w:hAnsi="Times New Roman"/>
          <w:sz w:val="24"/>
        </w:rPr>
        <w:t>Министерство образования Оренбургской области</w:t>
      </w:r>
    </w:p>
    <w:p w:rsidR="004E3F45" w:rsidRDefault="00F24887">
      <w:pPr>
        <w:spacing w:before="670" w:line="228" w:lineRule="auto"/>
        <w:ind w:left="2490"/>
        <w:jc w:val="left"/>
      </w:pPr>
      <w:r>
        <w:rPr>
          <w:rFonts w:ascii="Times New Roman" w:hAnsi="Times New Roman"/>
          <w:sz w:val="24"/>
        </w:rPr>
        <w:t>Управление образования администрации г. Оренбурга</w:t>
      </w:r>
    </w:p>
    <w:p w:rsidR="004E3F45" w:rsidRDefault="00F24887">
      <w:pPr>
        <w:spacing w:before="670" w:after="1376" w:line="228" w:lineRule="auto"/>
        <w:ind w:right="3468"/>
        <w:jc w:val="right"/>
      </w:pPr>
      <w:r>
        <w:rPr>
          <w:rFonts w:ascii="Times New Roman" w:hAnsi="Times New Roman"/>
          <w:sz w:val="24"/>
        </w:rPr>
        <w:t>МОАУ "Гимназия №8"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83"/>
        <w:gridCol w:w="4088"/>
        <w:gridCol w:w="3294"/>
      </w:tblGrid>
      <w:tr w:rsidR="004E3F45">
        <w:trPr>
          <w:trHeight w:hRule="exact" w:val="274"/>
        </w:trPr>
        <w:tc>
          <w:tcPr>
            <w:tcW w:w="24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48" w:line="228" w:lineRule="auto"/>
              <w:jc w:val="left"/>
            </w:pPr>
            <w:r>
              <w:rPr>
                <w:rFonts w:ascii="Times New Roman" w:hAnsi="Times New Roman"/>
                <w:sz w:val="20"/>
              </w:rPr>
              <w:t>РАССМОТРЕНО</w:t>
            </w:r>
          </w:p>
        </w:tc>
        <w:tc>
          <w:tcPr>
            <w:tcW w:w="4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48" w:line="228" w:lineRule="auto"/>
              <w:ind w:left="1016"/>
              <w:jc w:val="left"/>
            </w:pPr>
            <w:r>
              <w:rPr>
                <w:rFonts w:ascii="Times New Roman" w:hAnsi="Times New Roman"/>
                <w:sz w:val="20"/>
              </w:rPr>
              <w:t>СОГЛАСОВАНО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48" w:line="228" w:lineRule="auto"/>
              <w:ind w:left="412"/>
              <w:jc w:val="left"/>
            </w:pPr>
            <w:r>
              <w:rPr>
                <w:rFonts w:ascii="Times New Roman" w:hAnsi="Times New Roman"/>
                <w:sz w:val="20"/>
              </w:rPr>
              <w:t>УТВЕРЖДЕНО</w:t>
            </w:r>
          </w:p>
        </w:tc>
      </w:tr>
      <w:tr w:rsidR="004E3F45">
        <w:trPr>
          <w:trHeight w:hRule="exact" w:val="276"/>
        </w:trPr>
        <w:tc>
          <w:tcPr>
            <w:tcW w:w="24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line="228" w:lineRule="auto"/>
              <w:jc w:val="left"/>
            </w:pPr>
            <w:r>
              <w:rPr>
                <w:rFonts w:ascii="Times New Roman" w:hAnsi="Times New Roman"/>
                <w:sz w:val="20"/>
              </w:rPr>
              <w:t>ШМО</w:t>
            </w:r>
          </w:p>
        </w:tc>
        <w:tc>
          <w:tcPr>
            <w:tcW w:w="40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line="228" w:lineRule="auto"/>
              <w:ind w:left="1016"/>
              <w:jc w:val="left"/>
            </w:pPr>
            <w:r>
              <w:rPr>
                <w:rFonts w:ascii="Times New Roman" w:hAnsi="Times New Roman"/>
                <w:sz w:val="20"/>
              </w:rPr>
              <w:t>Заместитель директора по УВР</w:t>
            </w:r>
          </w:p>
        </w:tc>
        <w:tc>
          <w:tcPr>
            <w:tcW w:w="32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line="228" w:lineRule="auto"/>
              <w:ind w:left="412"/>
              <w:jc w:val="left"/>
            </w:pPr>
            <w:r>
              <w:rPr>
                <w:rFonts w:ascii="Times New Roman" w:hAnsi="Times New Roman"/>
                <w:sz w:val="20"/>
              </w:rPr>
              <w:t>Директор МОАУ "Гимназия №8"</w:t>
            </w:r>
          </w:p>
        </w:tc>
      </w:tr>
    </w:tbl>
    <w:p w:rsidR="004E3F45" w:rsidRDefault="004E3F45">
      <w:pPr>
        <w:spacing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76"/>
        <w:gridCol w:w="3394"/>
        <w:gridCol w:w="3194"/>
      </w:tblGrid>
      <w:tr w:rsidR="004E3F45">
        <w:trPr>
          <w:trHeight w:hRule="exact" w:val="362"/>
        </w:trPr>
        <w:tc>
          <w:tcPr>
            <w:tcW w:w="3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 w:rsidP="00E622E5">
            <w:pPr>
              <w:spacing w:before="60" w:line="228" w:lineRule="auto"/>
              <w:jc w:val="left"/>
            </w:pPr>
            <w:r>
              <w:rPr>
                <w:rFonts w:ascii="Times New Roman" w:hAnsi="Times New Roman"/>
                <w:sz w:val="20"/>
              </w:rPr>
              <w:t>______________</w:t>
            </w:r>
            <w:r w:rsidR="00E622E5">
              <w:rPr>
                <w:rFonts w:ascii="Times New Roman" w:hAnsi="Times New Roman"/>
                <w:sz w:val="20"/>
              </w:rPr>
              <w:t>Е.И. Соскова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 w:rsidP="00E622E5">
            <w:pPr>
              <w:spacing w:before="60" w:line="228" w:lineRule="auto"/>
              <w:ind w:left="236"/>
              <w:jc w:val="left"/>
            </w:pPr>
            <w:r>
              <w:rPr>
                <w:rFonts w:ascii="Times New Roman" w:hAnsi="Times New Roman"/>
                <w:sz w:val="20"/>
              </w:rPr>
              <w:t>______________</w:t>
            </w:r>
            <w:r w:rsidR="00E622E5">
              <w:rPr>
                <w:rFonts w:ascii="Times New Roman" w:hAnsi="Times New Roman"/>
                <w:sz w:val="20"/>
              </w:rPr>
              <w:t xml:space="preserve"> </w:t>
            </w:r>
            <w:r w:rsidR="00E622E5">
              <w:rPr>
                <w:rFonts w:ascii="Times New Roman" w:hAnsi="Times New Roman"/>
                <w:sz w:val="20"/>
              </w:rPr>
              <w:t xml:space="preserve">Н. </w:t>
            </w:r>
            <w:proofErr w:type="spellStart"/>
            <w:r w:rsidR="00E622E5">
              <w:rPr>
                <w:rFonts w:ascii="Times New Roman" w:hAnsi="Times New Roman"/>
                <w:sz w:val="20"/>
              </w:rPr>
              <w:t>А.</w:t>
            </w:r>
            <w:r>
              <w:rPr>
                <w:rFonts w:ascii="Times New Roman" w:hAnsi="Times New Roman"/>
                <w:sz w:val="20"/>
              </w:rPr>
              <w:t>Фомченко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60" w:line="228" w:lineRule="auto"/>
              <w:ind w:left="352"/>
              <w:jc w:val="left"/>
            </w:pPr>
            <w:r>
              <w:rPr>
                <w:rFonts w:ascii="Times New Roman" w:hAnsi="Times New Roman"/>
                <w:sz w:val="20"/>
              </w:rPr>
              <w:t>______________Мазанова М. А.</w:t>
            </w:r>
          </w:p>
        </w:tc>
      </w:tr>
      <w:tr w:rsidR="004E3F45">
        <w:trPr>
          <w:trHeight w:hRule="exact" w:val="420"/>
        </w:trPr>
        <w:tc>
          <w:tcPr>
            <w:tcW w:w="3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106" w:line="228" w:lineRule="auto"/>
              <w:jc w:val="left"/>
            </w:pPr>
            <w:r>
              <w:rPr>
                <w:rFonts w:ascii="Times New Roman" w:hAnsi="Times New Roman"/>
                <w:sz w:val="20"/>
              </w:rPr>
              <w:t>Протокол №1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4E3F45">
            <w:pPr>
              <w:spacing w:before="106" w:line="228" w:lineRule="auto"/>
              <w:ind w:left="236"/>
              <w:jc w:val="left"/>
            </w:pPr>
          </w:p>
        </w:tc>
        <w:tc>
          <w:tcPr>
            <w:tcW w:w="3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F24887">
            <w:pPr>
              <w:spacing w:before="106" w:line="228" w:lineRule="auto"/>
              <w:ind w:left="352"/>
              <w:jc w:val="left"/>
            </w:pPr>
            <w:r>
              <w:rPr>
                <w:rFonts w:ascii="Times New Roman" w:hAnsi="Times New Roman"/>
                <w:sz w:val="20"/>
              </w:rPr>
              <w:t>Приказ №</w:t>
            </w:r>
            <w:r w:rsidR="00E622E5">
              <w:rPr>
                <w:rFonts w:ascii="Times New Roman" w:hAnsi="Times New Roman"/>
                <w:sz w:val="20"/>
              </w:rPr>
              <w:t>___</w:t>
            </w:r>
          </w:p>
        </w:tc>
      </w:tr>
      <w:tr w:rsidR="004E3F45">
        <w:trPr>
          <w:trHeight w:hRule="exact" w:val="380"/>
        </w:trPr>
        <w:tc>
          <w:tcPr>
            <w:tcW w:w="3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AB2A0B" w:rsidP="00E622E5">
            <w:pPr>
              <w:spacing w:before="94" w:line="228" w:lineRule="auto"/>
              <w:jc w:val="left"/>
            </w:pPr>
            <w:r>
              <w:rPr>
                <w:rFonts w:ascii="Times New Roman" w:hAnsi="Times New Roman"/>
                <w:sz w:val="20"/>
              </w:rPr>
              <w:t>от "</w:t>
            </w:r>
            <w:r w:rsidR="00E622E5">
              <w:rPr>
                <w:rFonts w:ascii="Times New Roman" w:hAnsi="Times New Roman"/>
                <w:sz w:val="20"/>
              </w:rPr>
              <w:t xml:space="preserve">_ </w:t>
            </w:r>
            <w:r>
              <w:rPr>
                <w:rFonts w:ascii="Times New Roman" w:hAnsi="Times New Roman"/>
                <w:sz w:val="20"/>
              </w:rPr>
              <w:t>" августа2023</w:t>
            </w:r>
            <w:r w:rsidR="00F24887"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3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AB2A0B" w:rsidP="00E622E5">
            <w:pPr>
              <w:spacing w:before="94" w:line="228" w:lineRule="auto"/>
              <w:ind w:left="236"/>
              <w:jc w:val="left"/>
            </w:pPr>
            <w:r>
              <w:rPr>
                <w:rFonts w:ascii="Times New Roman" w:hAnsi="Times New Roman"/>
                <w:sz w:val="20"/>
              </w:rPr>
              <w:t>от "</w:t>
            </w:r>
            <w:r w:rsidR="00E622E5">
              <w:rPr>
                <w:rFonts w:ascii="Times New Roman" w:hAnsi="Times New Roman"/>
                <w:sz w:val="20"/>
              </w:rPr>
              <w:t>__</w:t>
            </w:r>
            <w:r>
              <w:rPr>
                <w:rFonts w:ascii="Times New Roman" w:hAnsi="Times New Roman"/>
                <w:sz w:val="20"/>
              </w:rPr>
              <w:t>" августа  2023</w:t>
            </w:r>
            <w:r w:rsidR="00F24887"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3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F45" w:rsidRDefault="00AB2A0B" w:rsidP="00E622E5">
            <w:pPr>
              <w:spacing w:before="94" w:line="228" w:lineRule="auto"/>
              <w:ind w:left="352"/>
              <w:jc w:val="left"/>
            </w:pPr>
            <w:r>
              <w:rPr>
                <w:rFonts w:ascii="Times New Roman" w:hAnsi="Times New Roman"/>
                <w:sz w:val="20"/>
              </w:rPr>
              <w:t>от "</w:t>
            </w:r>
            <w:r w:rsidR="00E622E5">
              <w:rPr>
                <w:rFonts w:ascii="Times New Roman" w:hAnsi="Times New Roman"/>
                <w:sz w:val="20"/>
              </w:rPr>
              <w:t>___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</w:rPr>
              <w:t>" августа2023</w:t>
            </w:r>
            <w:r w:rsidR="00F24887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</w:tbl>
    <w:p w:rsidR="004E3F45" w:rsidRDefault="00F24887">
      <w:pPr>
        <w:spacing w:before="978" w:line="228" w:lineRule="auto"/>
        <w:ind w:right="3320"/>
        <w:jc w:val="right"/>
      </w:pPr>
      <w:r>
        <w:rPr>
          <w:rFonts w:ascii="Times New Roman" w:hAnsi="Times New Roman"/>
          <w:b/>
          <w:sz w:val="24"/>
        </w:rPr>
        <w:t>РАБОЧАЯ ПРОГРАММА</w:t>
      </w:r>
    </w:p>
    <w:p w:rsidR="004E3F45" w:rsidRDefault="00F24887">
      <w:pPr>
        <w:spacing w:before="670" w:line="228" w:lineRule="auto"/>
        <w:ind w:right="86"/>
        <w:jc w:val="center"/>
      </w:pPr>
      <w:r>
        <w:rPr>
          <w:rFonts w:ascii="Times New Roman" w:hAnsi="Times New Roman"/>
          <w:b/>
          <w:sz w:val="24"/>
        </w:rPr>
        <w:t>Элективного курса</w:t>
      </w:r>
    </w:p>
    <w:p w:rsidR="004E3F45" w:rsidRDefault="00F24887">
      <w:pPr>
        <w:spacing w:before="70" w:line="228" w:lineRule="auto"/>
        <w:jc w:val="center"/>
      </w:pPr>
      <w:r>
        <w:rPr>
          <w:rFonts w:ascii="Times New Roman" w:hAnsi="Times New Roman"/>
          <w:b/>
          <w:sz w:val="24"/>
        </w:rPr>
        <w:t>«Математическая грамотность»</w:t>
      </w:r>
    </w:p>
    <w:p w:rsidR="004E3F45" w:rsidRDefault="00F24887">
      <w:pPr>
        <w:spacing w:before="670" w:line="228" w:lineRule="auto"/>
        <w:ind w:right="2184"/>
        <w:jc w:val="right"/>
      </w:pPr>
      <w:r>
        <w:rPr>
          <w:rFonts w:ascii="Times New Roman" w:hAnsi="Times New Roman"/>
          <w:sz w:val="24"/>
        </w:rPr>
        <w:t>(для 5 класса образовательных организаций)</w:t>
      </w: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4E3F45">
      <w:pPr>
        <w:spacing w:after="78" w:line="220" w:lineRule="exact"/>
      </w:pPr>
    </w:p>
    <w:p w:rsidR="004E3F45" w:rsidRDefault="00AB2A0B">
      <w:pPr>
        <w:spacing w:line="228" w:lineRule="auto"/>
        <w:ind w:right="3690"/>
        <w:jc w:val="right"/>
      </w:pPr>
      <w:r>
        <w:rPr>
          <w:rFonts w:ascii="Times New Roman" w:hAnsi="Times New Roman"/>
          <w:sz w:val="24"/>
        </w:rPr>
        <w:t>Оренбург 2023</w:t>
      </w:r>
      <w:r w:rsidR="00F24887">
        <w:br w:type="page"/>
      </w:r>
    </w:p>
    <w:p w:rsidR="004E3F45" w:rsidRDefault="00F24887">
      <w:pPr>
        <w:ind w:left="120" w:firstLine="447"/>
        <w:jc w:val="center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lastRenderedPageBreak/>
        <w:t>ПОЯСНИТЕЛЬНАЯ ЗАПИСКА</w:t>
      </w:r>
    </w:p>
    <w:p w:rsidR="004E3F45" w:rsidRDefault="00F24887">
      <w:pPr>
        <w:ind w:left="120" w:firstLine="447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Рабочая программа курса «Математическая грамотность» для 5класса разработана в соответствии с требованиями Федерального государственного образовательного стандарта основного общего образования, с учетом Примерной основной образовательной программы основного общего образования.</w:t>
      </w:r>
    </w:p>
    <w:p w:rsidR="004E3F45" w:rsidRDefault="00F24887">
      <w:pPr>
        <w:ind w:left="120" w:firstLine="447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Данный курс непосредственно связан с программой по математике для 5-6 классов. Он расширяет и систематизирует сведения, полученные обучающимися, закрепляет практические умения и навыки, позволяет восполнить пробелы в знаниях, нацелен на подготовку обучающихся к успешному написанию всероссийских проверочных работ, внешних мониторингов. На курсе «Математическая грамотность» предполагается уделять большое внимание развитию умения обучающихся считать и анализировать, формированию математической грамотности, развитию навыков и умений самостоятельного выполнения заданий различного уровня сложности.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В таком контексте функциональная грамотность выступает как способ социальной ориентации личности, интегрирующей связь образования (в первую очередь общего) с многоплановой человеческой деятельностью.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отношений?», - является PISA(Programme for International Student Assessment).                     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И функциональная грамотность понимается PISA как знания и умения, необходимые для полноценного функционирования человека в современном обществе. PISA  в своих мониторингах оценивает 4 вида грамотности: читательскую, математическую, естественнонаучную и финансовую.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Поскольку функциональная грамотность понимается как совокупность       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lastRenderedPageBreak/>
        <w:t>Результаты лонгитюдных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 Программа рассчитана на проведение практических занятий в объёме  34 часов в год, 1 час в неделю.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 xml:space="preserve"> Программа нацелена на развитие способности человека </w:t>
      </w:r>
      <w:proofErr w:type="gramStart"/>
      <w:r>
        <w:rPr>
          <w:rFonts w:ascii="Times New Roman" w:hAnsi="Times New Roman"/>
          <w:color w:val="111115"/>
          <w:sz w:val="24"/>
          <w:highlight w:val="white"/>
        </w:rPr>
        <w:t>формулировать</w:t>
      </w:r>
      <w:proofErr w:type="gramEnd"/>
      <w:r>
        <w:rPr>
          <w:rFonts w:ascii="Times New Roman" w:hAnsi="Times New Roman"/>
          <w:color w:val="111115"/>
          <w:sz w:val="24"/>
          <w:highlight w:val="white"/>
        </w:rPr>
        <w:t>, применять и интерпретировать математику в 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гражданину.</w:t>
      </w:r>
    </w:p>
    <w:p w:rsidR="004E3F45" w:rsidRDefault="004E3F45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</w:p>
    <w:p w:rsidR="004E3F45" w:rsidRDefault="00F24887">
      <w:pPr>
        <w:ind w:firstLine="567"/>
        <w:jc w:val="left"/>
        <w:rPr>
          <w:rFonts w:ascii="Times New Roman" w:hAnsi="Times New Roman"/>
          <w:b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Цель курса: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Развитие математической грамотности обучающихся 5 класса как индикатор качества эффективности образования.</w:t>
      </w:r>
    </w:p>
    <w:p w:rsidR="004E3F45" w:rsidRDefault="004E3F45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</w:p>
    <w:p w:rsidR="004E3F45" w:rsidRDefault="00F24887">
      <w:pPr>
        <w:ind w:firstLine="567"/>
        <w:jc w:val="left"/>
        <w:rPr>
          <w:rFonts w:ascii="Times New Roman" w:hAnsi="Times New Roman"/>
          <w:b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Задачи курса:</w:t>
      </w:r>
    </w:p>
    <w:p w:rsidR="004E3F45" w:rsidRDefault="00F24887">
      <w:pPr>
        <w:numPr>
          <w:ilvl w:val="0"/>
          <w:numId w:val="1"/>
        </w:numPr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развитие способности обучающихся формулировать, применять и интерпретировать математику в разнообразных контекстах;</w:t>
      </w:r>
    </w:p>
    <w:p w:rsidR="004E3F45" w:rsidRDefault="00F24887">
      <w:pPr>
        <w:numPr>
          <w:ilvl w:val="0"/>
          <w:numId w:val="1"/>
        </w:numPr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использовать математические факты и инструменты, чтобы описать и объяснить различные явления;</w:t>
      </w:r>
    </w:p>
    <w:p w:rsidR="004E3F45" w:rsidRDefault="00F24887">
      <w:pPr>
        <w:numPr>
          <w:ilvl w:val="0"/>
          <w:numId w:val="1"/>
        </w:numPr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развитие умения находить и извлекать математическую информацию различного предметного содержания из текстов, таблиц, схем, рисунков, диаграмм.</w:t>
      </w:r>
    </w:p>
    <w:p w:rsidR="004E3F45" w:rsidRDefault="004E3F45">
      <w:pPr>
        <w:ind w:firstLine="567"/>
        <w:jc w:val="center"/>
        <w:rPr>
          <w:rFonts w:ascii="Times New Roman" w:hAnsi="Times New Roman"/>
          <w:b/>
          <w:color w:val="111115"/>
          <w:sz w:val="24"/>
          <w:highlight w:val="white"/>
        </w:rPr>
      </w:pPr>
    </w:p>
    <w:p w:rsidR="004E3F45" w:rsidRDefault="00F24887">
      <w:pPr>
        <w:ind w:firstLine="567"/>
        <w:jc w:val="center"/>
        <w:rPr>
          <w:rFonts w:ascii="Times New Roman" w:hAnsi="Times New Roman"/>
          <w:b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Планируемые образовательные результаты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Метапредметные и предметные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 </w:t>
      </w:r>
      <w:r>
        <w:rPr>
          <w:rFonts w:ascii="Times New Roman" w:hAnsi="Times New Roman"/>
          <w:color w:val="111115"/>
          <w:sz w:val="24"/>
          <w:highlight w:val="white"/>
        </w:rPr>
        <w:t>- находить и извлекать математическую информацию в различном контексте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- применять математические знания для решения разного рода проблем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- формулировать  математическую проблему на основе анализа ситуации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- интерпретировать и оценивать математические данные в контексте лично значимой ситуации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 </w:t>
      </w:r>
      <w:r>
        <w:rPr>
          <w:rFonts w:ascii="Times New Roman" w:hAnsi="Times New Roman"/>
          <w:b/>
          <w:color w:val="111115"/>
          <w:sz w:val="24"/>
          <w:highlight w:val="white"/>
        </w:rPr>
        <w:t>Личностные результаты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- объяснять гражданскую позицию в конкретных ситуациях общественной жизни на основе математических знаний с позиции норм морали и общечеловеческих ценностей.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 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b/>
          <w:color w:val="111115"/>
          <w:sz w:val="24"/>
          <w:highlight w:val="white"/>
        </w:rPr>
        <w:t>Основные виды деятельности обучающихся</w:t>
      </w:r>
      <w:r>
        <w:rPr>
          <w:rFonts w:ascii="Times New Roman" w:hAnsi="Times New Roman"/>
          <w:color w:val="111115"/>
          <w:sz w:val="24"/>
          <w:highlight w:val="white"/>
        </w:rPr>
        <w:t>: самостоятельное чтение и обсуждение  полученной информации с помощью вопросов (беседа, дискуссия, диспут); выполнение практических заданий; поиск и обсуждение материалов в сети Интернет; решение ситуационных и практико-ориентированных задач.</w:t>
      </w:r>
    </w:p>
    <w:p w:rsidR="004E3F45" w:rsidRDefault="00F24887">
      <w:pPr>
        <w:ind w:firstLine="567"/>
        <w:jc w:val="left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В целях развития познавательной активности обучающихся на занятиях   используются деловые и дидактические игры, разрабатываются и реализовываются  мини-проекты, организовываются турниры и конкурсы.</w:t>
      </w:r>
    </w:p>
    <w:p w:rsidR="004E3F45" w:rsidRDefault="004E3F45">
      <w:pPr>
        <w:ind w:firstLine="567"/>
        <w:jc w:val="center"/>
        <w:rPr>
          <w:rFonts w:ascii="Times New Roman" w:hAnsi="Times New Roman"/>
          <w:color w:val="111115"/>
          <w:sz w:val="24"/>
          <w:highlight w:val="white"/>
        </w:rPr>
      </w:pPr>
    </w:p>
    <w:p w:rsidR="004E3F45" w:rsidRDefault="00F24887">
      <w:pPr>
        <w:ind w:firstLine="567"/>
        <w:jc w:val="center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 </w:t>
      </w:r>
      <w:r>
        <w:rPr>
          <w:rFonts w:ascii="Times New Roman" w:hAnsi="Times New Roman"/>
          <w:b/>
          <w:color w:val="111115"/>
          <w:sz w:val="24"/>
          <w:highlight w:val="white"/>
        </w:rPr>
        <w:t>Содержание учебного курса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 xml:space="preserve">Применение чисел и действий над ними. Счет и десятичная система счисления. Сюжетные задачи, решаемые с конца. Задачи на переливание (задача Пуассона) и взвешивание. </w:t>
      </w:r>
      <w:r>
        <w:rPr>
          <w:rFonts w:ascii="Times New Roman" w:hAnsi="Times New Roman"/>
          <w:color w:val="111115"/>
          <w:sz w:val="24"/>
          <w:highlight w:val="white"/>
        </w:rPr>
        <w:lastRenderedPageBreak/>
        <w:t>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 </w:t>
      </w:r>
      <w:r>
        <w:rPr>
          <w:rFonts w:ascii="Times New Roman" w:hAnsi="Times New Roman"/>
          <w:color w:val="111115"/>
          <w:spacing w:val="-3"/>
          <w:sz w:val="24"/>
          <w:highlight w:val="white"/>
        </w:rPr>
        <w:t>Задачи </w:t>
      </w:r>
      <w:r>
        <w:rPr>
          <w:rFonts w:ascii="Times New Roman" w:hAnsi="Times New Roman"/>
          <w:color w:val="111115"/>
          <w:sz w:val="24"/>
          <w:highlight w:val="white"/>
        </w:rPr>
        <w:t>на разрезание и перекраивание. Разбиение объекта на части и</w:t>
      </w:r>
      <w:r>
        <w:rPr>
          <w:rFonts w:ascii="Times New Roman" w:hAnsi="Times New Roman"/>
          <w:color w:val="111115"/>
          <w:spacing w:val="-28"/>
          <w:sz w:val="24"/>
          <w:highlight w:val="white"/>
        </w:rPr>
        <w:t> </w:t>
      </w:r>
      <w:r>
        <w:rPr>
          <w:rFonts w:ascii="Times New Roman" w:hAnsi="Times New Roman"/>
          <w:color w:val="111115"/>
          <w:sz w:val="24"/>
          <w:highlight w:val="white"/>
        </w:rPr>
        <w:t>составление модели. Размеры объектов окружающего мира (от элементарных частиц до Вселенной) длительность процессов окружающего мира. Числа и единицы измерения: время, деньги, масса, температура, расстояние. Логические задачи, решаемые с помощью таблиц. Комбинаторные задачи. Представление данных в виде таблиц, диаграмм, графиков.</w:t>
      </w:r>
    </w:p>
    <w:p w:rsidR="004E3F45" w:rsidRDefault="00F24887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  <w:r>
        <w:rPr>
          <w:rFonts w:ascii="Times New Roman" w:hAnsi="Times New Roman"/>
          <w:color w:val="111115"/>
          <w:sz w:val="24"/>
          <w:highlight w:val="white"/>
        </w:rPr>
        <w:t> </w:t>
      </w:r>
    </w:p>
    <w:p w:rsidR="004E3F45" w:rsidRDefault="00F24887">
      <w:pPr>
        <w:ind w:firstLine="567"/>
        <w:jc w:val="center"/>
        <w:rPr>
          <w:rFonts w:ascii="Times New Roman" w:hAnsi="Times New Roman"/>
          <w:b/>
          <w:color w:val="111115"/>
          <w:sz w:val="24"/>
          <w:highlight w:val="white"/>
        </w:rPr>
      </w:pPr>
      <w:r>
        <w:rPr>
          <w:b/>
        </w:rPr>
        <w:br w:type="page"/>
      </w:r>
      <w:r>
        <w:rPr>
          <w:b/>
        </w:rPr>
        <w:lastRenderedPageBreak/>
        <w:t>Тематическое планирование</w:t>
      </w:r>
    </w:p>
    <w:p w:rsidR="004E3F45" w:rsidRDefault="004E3F45">
      <w:pPr>
        <w:ind w:firstLine="567"/>
        <w:jc w:val="center"/>
        <w:rPr>
          <w:rFonts w:ascii="Times New Roman" w:hAnsi="Times New Roman"/>
          <w:b/>
          <w:color w:val="111115"/>
          <w:sz w:val="24"/>
          <w:highlight w:val="white"/>
        </w:rPr>
      </w:pPr>
    </w:p>
    <w:tbl>
      <w:tblPr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3431"/>
        <w:gridCol w:w="741"/>
        <w:gridCol w:w="1984"/>
        <w:gridCol w:w="286"/>
        <w:gridCol w:w="1134"/>
        <w:gridCol w:w="1265"/>
        <w:gridCol w:w="10"/>
        <w:gridCol w:w="850"/>
      </w:tblGrid>
      <w:tr w:rsidR="009C7D38" w:rsidTr="009C7D38">
        <w:trPr>
          <w:trHeight w:val="495"/>
        </w:trPr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3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C7D38" w:rsidRDefault="00AB2A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="009C7D38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C7D38" w:rsidTr="00AB2A0B">
        <w:trPr>
          <w:trHeight w:val="870"/>
        </w:trPr>
        <w:tc>
          <w:tcPr>
            <w:tcW w:w="7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>
            <w:pPr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 w:rsidP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5б</w:t>
            </w:r>
          </w:p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 w:rsidP="009C7D3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 w:rsidP="009C7D3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5г</w:t>
            </w:r>
          </w:p>
          <w:p w:rsidR="009C7D38" w:rsidRDefault="009C7D38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  <w:p w:rsidR="009C7D38" w:rsidRDefault="009C7D38" w:rsidP="009C7D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ind w:right="123"/>
              <w:jc w:val="left"/>
              <w:rPr>
                <w:rFonts w:ascii="Times New Roman" w:hAnsi="Times New Roman"/>
                <w:color w:val="111115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Применение чисел и действий над ними. Счет и десятичная система счисления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Сюжетные задачи, решаемые с конца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Задачи на переливание (задача Пуассона) и взвешивание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E622E5" w:rsidP="00AB2A0B">
            <w:pPr>
              <w:rPr>
                <w:rFonts w:ascii="Times New Roman" w:hAnsi="Times New Roman"/>
                <w:sz w:val="24"/>
              </w:rPr>
            </w:pPr>
            <w:hyperlink r:id="rId6" w:history="1">
              <w:r w:rsidR="00AB2A0B">
                <w:rPr>
                  <w:rFonts w:ascii="Times New Roman" w:hAnsi="Times New Roman"/>
                  <w:color w:val="0000EE"/>
                  <w:sz w:val="24"/>
                  <w:u w:val="single" w:color="000000"/>
                </w:rPr>
                <w:t>Задачи на переливание (school-collection.edu.ru)</w:t>
              </w:r>
            </w:hyperlink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F24887" w:rsidRDefault="00AB2A0B" w:rsidP="00AB2A0B">
            <w:pPr>
              <w:rPr>
                <w:rFonts w:ascii="Times New Roman" w:hAnsi="Times New Roman"/>
                <w:color w:val="0000EE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RPr="00E622E5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Логические задачи: задачи о «мудрецах», о лжецах и тех, кто всегда говорит правду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F24887" w:rsidRDefault="00E622E5" w:rsidP="00AB2A0B">
            <w:pPr>
              <w:rPr>
                <w:rFonts w:ascii="Times New Roman" w:hAnsi="Times New Roman"/>
                <w:sz w:val="24"/>
                <w:lang w:val="en-US"/>
              </w:rPr>
            </w:pPr>
            <w:hyperlink r:id="rId7" w:history="1">
              <w:r w:rsidR="00AB2A0B" w:rsidRPr="00F24887">
                <w:rPr>
                  <w:rFonts w:ascii="Times New Roman" w:hAnsi="Times New Roman"/>
                  <w:color w:val="0000EE"/>
                  <w:sz w:val="24"/>
                  <w:u w:val="single" w:color="000000"/>
                  <w:lang w:val="en-US"/>
                </w:rPr>
                <w:t>10-22-1-logicheskie-zadachi.pptx (live.com)</w:t>
              </w:r>
            </w:hyperlink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9C7D38" w:rsidRDefault="00AB2A0B" w:rsidP="00AB2A0B">
            <w:pPr>
              <w:rPr>
                <w:rFonts w:ascii="Times New Roman" w:hAnsi="Times New Roman"/>
                <w:color w:val="0000EE"/>
                <w:sz w:val="24"/>
                <w:u w:val="single" w:color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E622E5" w:rsidRDefault="00AB2A0B" w:rsidP="00AB2A0B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E622E5" w:rsidRDefault="00AB2A0B" w:rsidP="00AB2A0B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Pr="00E622E5" w:rsidRDefault="00AB2A0B" w:rsidP="00AB2A0B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Первые шаги в геометрии. Простейшие геометрические фигуры. Наглядная геометрия. </w:t>
            </w:r>
            <w:r>
              <w:rPr>
                <w:rFonts w:ascii="Times New Roman" w:hAnsi="Times New Roman"/>
                <w:color w:val="111115"/>
                <w:spacing w:val="-3"/>
                <w:sz w:val="24"/>
                <w:highlight w:val="white"/>
              </w:rPr>
              <w:t>Задачи </w:t>
            </w: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на разрезание и перекраивание. Разбиение объекта на части и</w:t>
            </w:r>
            <w:r>
              <w:rPr>
                <w:rFonts w:ascii="Times New Roman" w:hAnsi="Times New Roman"/>
                <w:color w:val="111115"/>
                <w:spacing w:val="-28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составление модели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E622E5" w:rsidP="00AB2A0B">
            <w:pPr>
              <w:rPr>
                <w:rFonts w:ascii="Times New Roman" w:hAnsi="Times New Roman"/>
                <w:sz w:val="24"/>
              </w:rPr>
            </w:pPr>
            <w:hyperlink r:id="rId8" w:history="1">
              <w:r w:rsidR="00AB2A0B">
                <w:rPr>
                  <w:rFonts w:ascii="Times New Roman" w:hAnsi="Times New Roman"/>
                  <w:color w:val="0000EE"/>
                  <w:sz w:val="24"/>
                  <w:u w:val="single" w:color="000000"/>
                </w:rPr>
                <w:t>Занимательные задачи: задачи на разрезание. часть 1 - Математика - 5 класс - Российская электронная школа (resh.edu.ru)</w:t>
              </w:r>
            </w:hyperlink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color w:val="0000EE"/>
                <w:sz w:val="24"/>
                <w:u w:val="single" w:color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Размеры объектов окружающего мира (от элементарных частиц до Вселенной) длительность процессов окружающего мира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ind w:right="84"/>
              <w:jc w:val="left"/>
              <w:rPr>
                <w:rFonts w:ascii="Times New Roman" w:hAnsi="Times New Roman"/>
                <w:color w:val="111115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Числа и единицы измерения: время, деньги, масса, температура, расстояние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Логические задачи, решаемые с помощью таблиц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Геометрические фигуры на клетчатой бумаге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Вычисление расстояний на местности в стандартных ситуациях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>Графы и их применение в решении задач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E622E5" w:rsidP="00AB2A0B">
            <w:pPr>
              <w:rPr>
                <w:rFonts w:ascii="Times New Roman" w:hAnsi="Times New Roman"/>
                <w:sz w:val="24"/>
              </w:rPr>
            </w:pPr>
            <w:hyperlink r:id="rId9" w:history="1">
              <w:r w:rsidR="00AB2A0B">
                <w:rPr>
                  <w:rFonts w:ascii="Times New Roman" w:hAnsi="Times New Roman"/>
                  <w:color w:val="0000EE"/>
                  <w:sz w:val="24"/>
                  <w:u w:val="single" w:color="000000"/>
                </w:rPr>
                <w:t>Использование графов при решении задач (videouroki.net)</w:t>
              </w:r>
            </w:hyperlink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color w:val="0000EE"/>
                <w:sz w:val="24"/>
                <w:u w:val="single" w:color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t xml:space="preserve">Комбинаторные задачи. </w:t>
            </w:r>
            <w:r>
              <w:rPr>
                <w:rFonts w:ascii="Times New Roman" w:hAnsi="Times New Roman"/>
                <w:color w:val="111115"/>
                <w:sz w:val="24"/>
                <w:highlight w:val="white"/>
              </w:rPr>
              <w:lastRenderedPageBreak/>
              <w:t>Представление данных в виде таблиц, диаграмм, графиков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E622E5" w:rsidP="00AB2A0B">
            <w:pPr>
              <w:rPr>
                <w:rFonts w:ascii="Times New Roman" w:hAnsi="Times New Roman"/>
                <w:sz w:val="24"/>
              </w:rPr>
            </w:pPr>
            <w:hyperlink r:id="rId10" w:history="1">
              <w:r w:rsidR="00AB2A0B">
                <w:rPr>
                  <w:rFonts w:ascii="Times New Roman" w:hAnsi="Times New Roman"/>
                  <w:color w:val="0000EE"/>
                  <w:sz w:val="24"/>
                  <w:u w:val="single" w:color="000000"/>
                </w:rPr>
                <w:t xml:space="preserve">Простейшие </w:t>
              </w:r>
              <w:r w:rsidR="00AB2A0B">
                <w:rPr>
                  <w:rFonts w:ascii="Times New Roman" w:hAnsi="Times New Roman"/>
                  <w:color w:val="0000EE"/>
                  <w:sz w:val="24"/>
                  <w:u w:val="single" w:color="000000"/>
                </w:rPr>
                <w:lastRenderedPageBreak/>
                <w:t>комбинаторные задачи. часть 1 (теория) - Математика - 5 класс - Российская электронная школа (resh.edu.ru)</w:t>
              </w:r>
            </w:hyperlink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color w:val="0000EE"/>
                <w:sz w:val="24"/>
                <w:u w:val="single" w:color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  <w:tr w:rsidR="00AB2A0B" w:rsidTr="00AB2A0B">
        <w:trPr>
          <w:trHeight w:val="36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 Решение различных задач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0B" w:rsidRDefault="00AB2A0B" w:rsidP="00AB2A0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4E3F45" w:rsidRDefault="004E3F45">
      <w:pPr>
        <w:ind w:firstLine="567"/>
        <w:rPr>
          <w:rFonts w:ascii="Times New Roman" w:hAnsi="Times New Roman"/>
          <w:color w:val="111115"/>
          <w:sz w:val="24"/>
          <w:highlight w:val="white"/>
        </w:rPr>
      </w:pPr>
    </w:p>
    <w:sectPr w:rsidR="004E3F45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D41"/>
    <w:multiLevelType w:val="multilevel"/>
    <w:tmpl w:val="8EFA8B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45"/>
    <w:rsid w:val="004E3F45"/>
    <w:rsid w:val="009C7D38"/>
    <w:rsid w:val="00AB2A0B"/>
    <w:rsid w:val="00E622E5"/>
    <w:rsid w:val="00F2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3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ew.officeapps.live.com/op/view.aspx?src=https%3A%2F%2Fbosova.ru%2Fmetodist%2Fauthors%2Finformatika%2F3%2Ffiles%2Feor10%2Fpresentations%2F10-22-1-logicheskie-zadachi.pptx%3Fysclid%3Dl7grmo40bh164165811&amp;wdOrigin=BROWSELI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bb763f24-71fc-408f-8556-4905e6ce0180/?interface=catalog&amp;ysclid=l7grjgbym637087761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lesson/1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deouroki.net/blog/ispol-zovaniie-ghrafov-pri-rieshienii-zadach.html?ysclid=l7grr4c4ie629210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Махова</dc:creator>
  <cp:lastModifiedBy>RePack by Diakov</cp:lastModifiedBy>
  <cp:revision>2</cp:revision>
  <dcterms:created xsi:type="dcterms:W3CDTF">2023-08-21T07:27:00Z</dcterms:created>
  <dcterms:modified xsi:type="dcterms:W3CDTF">2023-08-21T07:27:00Z</dcterms:modified>
</cp:coreProperties>
</file>